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B68" w:rsidRDefault="006E0B68"/>
    <w:tbl>
      <w:tblPr>
        <w:tblStyle w:val="6"/>
        <w:tblpPr w:leftFromText="180" w:rightFromText="180" w:vertAnchor="text" w:tblpY="1"/>
        <w:tblOverlap w:val="never"/>
        <w:tblW w:w="10173" w:type="dxa"/>
        <w:tblLayout w:type="fixed"/>
        <w:tblLook w:val="04A0" w:firstRow="1" w:lastRow="0" w:firstColumn="1" w:lastColumn="0" w:noHBand="0" w:noVBand="1"/>
      </w:tblPr>
      <w:tblGrid>
        <w:gridCol w:w="10173"/>
      </w:tblGrid>
      <w:tr w:rsidR="00C06E7B" w:rsidRPr="00C06E7B" w:rsidTr="00AD2D5F">
        <w:trPr>
          <w:trHeight w:val="132"/>
        </w:trPr>
        <w:tc>
          <w:tcPr>
            <w:tcW w:w="10173" w:type="dxa"/>
          </w:tcPr>
          <w:p w:rsidR="00C06E7B" w:rsidRPr="00C06E7B" w:rsidRDefault="00C06E7B" w:rsidP="00C06E7B">
            <w:pPr>
              <w:pStyle w:val="-1"/>
            </w:pPr>
            <w:r w:rsidRPr="00C06E7B">
              <w:t>Паспорт образовательной программы (ОП)</w:t>
            </w:r>
          </w:p>
        </w:tc>
      </w:tr>
      <w:tr w:rsidR="00C06E7B" w:rsidRPr="00C06E7B" w:rsidTr="00AD2D5F">
        <w:tc>
          <w:tcPr>
            <w:tcW w:w="10173" w:type="dxa"/>
          </w:tcPr>
          <w:p w:rsidR="00C06E7B" w:rsidRPr="00C06E7B" w:rsidRDefault="00C80C46" w:rsidP="00C06E7B">
            <w:pPr>
              <w:pStyle w:val="-1"/>
              <w:jc w:val="both"/>
              <w:rPr>
                <w:b w:val="0"/>
              </w:rPr>
            </w:pPr>
            <w:r w:rsidRPr="007B2A69">
              <w:t>7</w:t>
            </w:r>
            <w:r>
              <w:rPr>
                <w:lang w:val="en-US"/>
              </w:rPr>
              <w:t>R</w:t>
            </w:r>
            <w:r w:rsidRPr="007B2A69">
              <w:t>0</w:t>
            </w:r>
            <w:r>
              <w:t>1</w:t>
            </w:r>
            <w:r w:rsidRPr="007B2A69">
              <w:t xml:space="preserve">138 </w:t>
            </w:r>
            <w:r>
              <w:t>– «</w:t>
            </w:r>
            <w:r w:rsidRPr="007B2A69">
              <w:t>Семейная медицина</w:t>
            </w:r>
            <w:r>
              <w:t>»</w:t>
            </w:r>
          </w:p>
        </w:tc>
      </w:tr>
      <w:tr w:rsidR="00C06E7B" w:rsidRPr="00C06E7B" w:rsidTr="00AD2D5F">
        <w:tc>
          <w:tcPr>
            <w:tcW w:w="10173" w:type="dxa"/>
          </w:tcPr>
          <w:p w:rsidR="00C06E7B" w:rsidRPr="00C06E7B" w:rsidRDefault="00C06E7B" w:rsidP="00C06E7B">
            <w:pPr>
              <w:pStyle w:val="-1"/>
              <w:jc w:val="both"/>
              <w:rPr>
                <w:b w:val="0"/>
              </w:rPr>
            </w:pPr>
            <w:r w:rsidRPr="00C06E7B">
              <w:t>Миссия ОП</w:t>
            </w:r>
            <w:r>
              <w:rPr>
                <w:b w:val="0"/>
              </w:rPr>
              <w:t>:</w:t>
            </w:r>
            <w:r w:rsidRPr="00C06E7B">
              <w:rPr>
                <w:b w:val="0"/>
              </w:rPr>
              <w:t xml:space="preserve"> Формирование компетенции и личностных качеств </w:t>
            </w:r>
            <w:proofErr w:type="spellStart"/>
            <w:r w:rsidRPr="00C06E7B">
              <w:rPr>
                <w:b w:val="0"/>
              </w:rPr>
              <w:t>конкурентноспособных</w:t>
            </w:r>
            <w:proofErr w:type="spellEnd"/>
            <w:r w:rsidRPr="00C06E7B">
              <w:rPr>
                <w:b w:val="0"/>
              </w:rPr>
              <w:t xml:space="preserve">, творчески и </w:t>
            </w:r>
            <w:proofErr w:type="spellStart"/>
            <w:r w:rsidRPr="00C06E7B">
              <w:rPr>
                <w:b w:val="0"/>
              </w:rPr>
              <w:t>инновационно</w:t>
            </w:r>
            <w:proofErr w:type="spellEnd"/>
            <w:r w:rsidRPr="00C06E7B">
              <w:rPr>
                <w:b w:val="0"/>
              </w:rPr>
              <w:t xml:space="preserve"> мыслящих, умеющих реализовать свои знания и навыки специалистов нового поколения</w:t>
            </w:r>
          </w:p>
        </w:tc>
      </w:tr>
      <w:tr w:rsidR="00C06E7B" w:rsidRPr="00C06E7B" w:rsidTr="00AD2D5F">
        <w:tc>
          <w:tcPr>
            <w:tcW w:w="10173" w:type="dxa"/>
          </w:tcPr>
          <w:p w:rsidR="00C06E7B" w:rsidRPr="00C06E7B" w:rsidRDefault="00C06E7B" w:rsidP="00C80C46">
            <w:pPr>
              <w:pStyle w:val="-1"/>
              <w:jc w:val="both"/>
              <w:rPr>
                <w:b w:val="0"/>
                <w:lang w:val="kk-KZ"/>
              </w:rPr>
            </w:pPr>
            <w:r w:rsidRPr="00C06E7B">
              <w:t>Цель ОП:</w:t>
            </w:r>
            <w:r w:rsidRPr="00C06E7B">
              <w:rPr>
                <w:b w:val="0"/>
              </w:rPr>
              <w:t xml:space="preserve"> </w:t>
            </w:r>
            <w:r w:rsidR="005715E4" w:rsidRPr="005715E4">
              <w:rPr>
                <w:b w:val="0"/>
              </w:rPr>
              <w:t>направлена на реализацию миссии Университета путем подготовки квалифицированного врача</w:t>
            </w:r>
            <w:r w:rsidR="00C80C46">
              <w:rPr>
                <w:b w:val="0"/>
              </w:rPr>
              <w:t xml:space="preserve"> –</w:t>
            </w:r>
            <w:r w:rsidR="005715E4" w:rsidRPr="005715E4">
              <w:rPr>
                <w:b w:val="0"/>
              </w:rPr>
              <w:t xml:space="preserve"> специалиста по семейной медицине, обладающего системой универсальных знаний и профессиональных компетенций, способного и готового к самостоятельной профессиональной деятельности.</w:t>
            </w:r>
          </w:p>
        </w:tc>
      </w:tr>
      <w:tr w:rsidR="00C06E7B" w:rsidRPr="00C06E7B" w:rsidTr="00AD2D5F">
        <w:tc>
          <w:tcPr>
            <w:tcW w:w="10173" w:type="dxa"/>
          </w:tcPr>
          <w:p w:rsidR="00AF5A53" w:rsidRPr="00C06E7B" w:rsidRDefault="00AF5A53" w:rsidP="00AF5A53">
            <w:pPr>
              <w:pStyle w:val="-1"/>
              <w:jc w:val="both"/>
            </w:pPr>
            <w:r w:rsidRPr="00C06E7B">
              <w:t xml:space="preserve">Результаты обучения: </w:t>
            </w:r>
          </w:p>
          <w:p w:rsidR="005715E4" w:rsidRPr="005715E4" w:rsidRDefault="005715E4" w:rsidP="005715E4">
            <w:pPr>
              <w:pStyle w:val="-1"/>
              <w:jc w:val="both"/>
              <w:rPr>
                <w:b w:val="0"/>
              </w:rPr>
            </w:pPr>
            <w:r w:rsidRPr="005715E4">
              <w:rPr>
                <w:b w:val="0"/>
              </w:rPr>
              <w:t>РО1 проводить обследование пациента, дифференциальную диагностику и формулировать клинический диагноз</w:t>
            </w:r>
          </w:p>
          <w:p w:rsidR="005715E4" w:rsidRPr="005715E4" w:rsidRDefault="005715E4" w:rsidP="005715E4">
            <w:pPr>
              <w:pStyle w:val="-1"/>
              <w:jc w:val="both"/>
              <w:rPr>
                <w:b w:val="0"/>
              </w:rPr>
            </w:pPr>
            <w:r w:rsidRPr="005715E4">
              <w:rPr>
                <w:b w:val="0"/>
              </w:rPr>
              <w:t>РО2 определять</w:t>
            </w:r>
            <w:r>
              <w:rPr>
                <w:b w:val="0"/>
              </w:rPr>
              <w:t xml:space="preserve"> план лечения и тактику ведения</w:t>
            </w:r>
            <w:r w:rsidRPr="005715E4">
              <w:rPr>
                <w:b w:val="0"/>
              </w:rPr>
              <w:t xml:space="preserve"> в соответствии с клиническим диагнозом с учетом </w:t>
            </w:r>
            <w:proofErr w:type="spellStart"/>
            <w:r w:rsidRPr="005715E4">
              <w:rPr>
                <w:b w:val="0"/>
              </w:rPr>
              <w:t>коморбидности</w:t>
            </w:r>
            <w:proofErr w:type="spellEnd"/>
            <w:r w:rsidRPr="005715E4">
              <w:rPr>
                <w:b w:val="0"/>
              </w:rPr>
              <w:t xml:space="preserve"> и потенциальных рисков на основе доказательной практики </w:t>
            </w:r>
          </w:p>
          <w:p w:rsidR="005715E4" w:rsidRPr="005715E4" w:rsidRDefault="005715E4" w:rsidP="005715E4">
            <w:pPr>
              <w:pStyle w:val="-1"/>
              <w:jc w:val="both"/>
              <w:rPr>
                <w:b w:val="0"/>
              </w:rPr>
            </w:pPr>
            <w:r w:rsidRPr="005715E4">
              <w:rPr>
                <w:b w:val="0"/>
              </w:rPr>
              <w:t xml:space="preserve">РО3 обеспечить эффективное динамическое наблюдение пациентов с хроническими заболеваниями </w:t>
            </w:r>
          </w:p>
          <w:p w:rsidR="005715E4" w:rsidRPr="005715E4" w:rsidRDefault="005715E4" w:rsidP="005715E4">
            <w:pPr>
              <w:pStyle w:val="-1"/>
              <w:jc w:val="both"/>
              <w:rPr>
                <w:b w:val="0"/>
              </w:rPr>
            </w:pPr>
            <w:r w:rsidRPr="005715E4">
              <w:rPr>
                <w:b w:val="0"/>
              </w:rPr>
              <w:t xml:space="preserve">РО4 оформлять и вести медицинскую учетно-отчетную документацию, регистры, документацию для медико-социальной экспертизы, проводить экспертизу качества медицинской помощи </w:t>
            </w:r>
          </w:p>
          <w:p w:rsidR="005715E4" w:rsidRPr="005715E4" w:rsidRDefault="005715E4" w:rsidP="005715E4">
            <w:pPr>
              <w:pStyle w:val="-1"/>
              <w:jc w:val="both"/>
              <w:rPr>
                <w:b w:val="0"/>
              </w:rPr>
            </w:pPr>
            <w:r w:rsidRPr="005715E4">
              <w:rPr>
                <w:b w:val="0"/>
              </w:rPr>
              <w:t>РО5 взаимодействовать с пациентом, его окружением, специалистами здравоохранения в составе междисциплинарной команды для достижения лучших для пациента результатов</w:t>
            </w:r>
          </w:p>
          <w:p w:rsidR="005715E4" w:rsidRPr="005715E4" w:rsidRDefault="005715E4" w:rsidP="005715E4">
            <w:pPr>
              <w:pStyle w:val="-1"/>
              <w:jc w:val="both"/>
              <w:rPr>
                <w:b w:val="0"/>
              </w:rPr>
            </w:pPr>
            <w:r w:rsidRPr="005715E4">
              <w:rPr>
                <w:b w:val="0"/>
              </w:rPr>
              <w:t>РО6 проводить профилактическую работу среди населения, планировать и организовывать работу в системе здравоохранения для осуществления политики укрепления здоровья нации</w:t>
            </w:r>
          </w:p>
          <w:p w:rsidR="005715E4" w:rsidRPr="005715E4" w:rsidRDefault="005715E4" w:rsidP="005715E4">
            <w:pPr>
              <w:pStyle w:val="-1"/>
              <w:jc w:val="both"/>
              <w:rPr>
                <w:b w:val="0"/>
              </w:rPr>
            </w:pPr>
            <w:r w:rsidRPr="005715E4">
              <w:rPr>
                <w:b w:val="0"/>
              </w:rPr>
              <w:t xml:space="preserve">РО7 сравнивать правовые, этические, экономические и нормативные аспекты политики национального здравоохранения с международной практикой </w:t>
            </w:r>
          </w:p>
          <w:p w:rsidR="00C06E7B" w:rsidRPr="00C06E7B" w:rsidRDefault="005715E4" w:rsidP="005715E4">
            <w:pPr>
              <w:pStyle w:val="-1"/>
              <w:jc w:val="both"/>
              <w:rPr>
                <w:b w:val="0"/>
              </w:rPr>
            </w:pPr>
            <w:r w:rsidRPr="005715E4">
              <w:rPr>
                <w:b w:val="0"/>
              </w:rPr>
              <w:t>РО8 синтезировать информацию, обобщать полученные данные, уметь сообщать в виде литературных обзоров, подготовки презентации и обоснования проведения научного исследования</w:t>
            </w:r>
          </w:p>
        </w:tc>
      </w:tr>
      <w:tr w:rsidR="00C06E7B" w:rsidRPr="00C06E7B" w:rsidTr="00AD2D5F">
        <w:tc>
          <w:tcPr>
            <w:tcW w:w="10173" w:type="dxa"/>
          </w:tcPr>
          <w:p w:rsidR="00C06E7B" w:rsidRPr="00C06E7B" w:rsidRDefault="00C06E7B" w:rsidP="00EF587C">
            <w:pPr>
              <w:pStyle w:val="-1"/>
              <w:jc w:val="both"/>
              <w:rPr>
                <w:b w:val="0"/>
              </w:rPr>
            </w:pPr>
            <w:r w:rsidRPr="00C06E7B">
              <w:t>Объем кредитов</w:t>
            </w:r>
            <w:r w:rsidRPr="00C06E7B">
              <w:rPr>
                <w:b w:val="0"/>
              </w:rPr>
              <w:t xml:space="preserve">: </w:t>
            </w:r>
            <w:r w:rsidR="005715E4">
              <w:rPr>
                <w:b w:val="0"/>
              </w:rPr>
              <w:t>140 кредитов</w:t>
            </w:r>
          </w:p>
        </w:tc>
      </w:tr>
      <w:tr w:rsidR="00247B43" w:rsidRPr="00C06E7B" w:rsidTr="00AD2D5F">
        <w:tc>
          <w:tcPr>
            <w:tcW w:w="10173" w:type="dxa"/>
          </w:tcPr>
          <w:p w:rsidR="00247B43" w:rsidRPr="00C06E7B" w:rsidRDefault="00AD2D5F" w:rsidP="00AD2D5F">
            <w:pPr>
              <w:pStyle w:val="-1"/>
              <w:jc w:val="both"/>
            </w:pPr>
            <w:r w:rsidRPr="00AD2D5F">
              <w:t>Продолжительность программы в годах</w:t>
            </w:r>
            <w:r>
              <w:t>:</w:t>
            </w:r>
            <w:r w:rsidRPr="00AD2D5F">
              <w:rPr>
                <w:b w:val="0"/>
              </w:rPr>
              <w:t xml:space="preserve"> 2 года</w:t>
            </w:r>
          </w:p>
        </w:tc>
      </w:tr>
      <w:tr w:rsidR="00C06E7B" w:rsidRPr="00C06E7B" w:rsidTr="00AD2D5F">
        <w:tc>
          <w:tcPr>
            <w:tcW w:w="10173" w:type="dxa"/>
          </w:tcPr>
          <w:p w:rsidR="00C06E7B" w:rsidRPr="00C06E7B" w:rsidRDefault="00C06E7B" w:rsidP="003E7DA3">
            <w:pPr>
              <w:pStyle w:val="-1"/>
              <w:jc w:val="both"/>
              <w:rPr>
                <w:b w:val="0"/>
                <w:lang w:val="kk-KZ"/>
              </w:rPr>
            </w:pPr>
            <w:r w:rsidRPr="00C06E7B">
              <w:t>Присуждаемая квалификация</w:t>
            </w:r>
            <w:r w:rsidRPr="00C06E7B">
              <w:rPr>
                <w:lang w:val="kk-KZ"/>
              </w:rPr>
              <w:t>:</w:t>
            </w:r>
            <w:r w:rsidRPr="00C06E7B">
              <w:rPr>
                <w:b w:val="0"/>
                <w:lang w:val="kk-KZ"/>
              </w:rPr>
              <w:t xml:space="preserve"> </w:t>
            </w:r>
            <w:r w:rsidR="005715E4">
              <w:t xml:space="preserve"> </w:t>
            </w:r>
            <w:r w:rsidR="005715E4" w:rsidRPr="005715E4">
              <w:rPr>
                <w:b w:val="0"/>
                <w:lang w:val="kk-KZ"/>
              </w:rPr>
              <w:t>врач</w:t>
            </w:r>
            <w:r w:rsidR="003E7DA3" w:rsidRPr="005715E4">
              <w:rPr>
                <w:b w:val="0"/>
                <w:lang w:val="kk-KZ"/>
              </w:rPr>
              <w:t xml:space="preserve"> </w:t>
            </w:r>
            <w:r w:rsidR="003E7DA3">
              <w:rPr>
                <w:b w:val="0"/>
                <w:lang w:val="kk-KZ"/>
              </w:rPr>
              <w:t>семейной медицины</w:t>
            </w:r>
          </w:p>
        </w:tc>
      </w:tr>
      <w:tr w:rsidR="00C06E7B" w:rsidRPr="00C06E7B" w:rsidTr="00AD2D5F">
        <w:tc>
          <w:tcPr>
            <w:tcW w:w="10173" w:type="dxa"/>
            <w:vAlign w:val="center"/>
          </w:tcPr>
          <w:p w:rsidR="00C06E7B" w:rsidRPr="00C06E7B" w:rsidRDefault="00C06E7B" w:rsidP="00C06E7B">
            <w:pPr>
              <w:pStyle w:val="-1"/>
              <w:jc w:val="both"/>
              <w:rPr>
                <w:b w:val="0"/>
                <w:lang w:val="kk-KZ"/>
              </w:rPr>
            </w:pPr>
            <w:r w:rsidRPr="00B333FA">
              <w:t>Аккредитация ОП</w:t>
            </w:r>
            <w:r w:rsidRPr="00B333FA">
              <w:rPr>
                <w:lang w:val="kk-KZ"/>
              </w:rPr>
              <w:t>:</w:t>
            </w:r>
            <w:r w:rsidR="00B333FA">
              <w:rPr>
                <w:b w:val="0"/>
                <w:lang w:val="kk-KZ"/>
              </w:rPr>
              <w:t xml:space="preserve"> </w:t>
            </w:r>
            <w:hyperlink r:id="rId5" w:history="1">
              <w:r w:rsidR="00B333FA" w:rsidRPr="00B333FA">
                <w:rPr>
                  <w:rStyle w:val="a5"/>
                  <w:b w:val="0"/>
                  <w:color w:val="auto"/>
                </w:rPr>
                <w:t>https://enic-kazakhstan.edu.kz/ru/accreditation/akkreditovannye-programmy-rezidentury-1</w:t>
              </w:r>
            </w:hyperlink>
            <w:r w:rsidR="00B333FA" w:rsidRPr="00B333FA">
              <w:rPr>
                <w:b w:val="0"/>
              </w:rPr>
              <w:t xml:space="preserve"> </w:t>
            </w:r>
          </w:p>
        </w:tc>
      </w:tr>
      <w:tr w:rsidR="00C06E7B" w:rsidRPr="00C06E7B" w:rsidTr="00AD2D5F">
        <w:tc>
          <w:tcPr>
            <w:tcW w:w="10173" w:type="dxa"/>
            <w:vAlign w:val="center"/>
          </w:tcPr>
          <w:p w:rsidR="00C06E7B" w:rsidRPr="00C06E7B" w:rsidRDefault="00A3704D" w:rsidP="00247B43">
            <w:pPr>
              <w:pStyle w:val="-1"/>
              <w:jc w:val="both"/>
              <w:rPr>
                <w:b w:val="0"/>
              </w:rPr>
            </w:pPr>
            <w:r>
              <w:rPr>
                <w:rStyle w:val="s0"/>
              </w:rPr>
              <w:t>Предшествующий уровень образования лиц, желающих освоить образовательные типовые учебные программы резидентуры</w:t>
            </w:r>
            <w:r>
              <w:t xml:space="preserve">: </w:t>
            </w:r>
            <w:r>
              <w:rPr>
                <w:rStyle w:val="s0"/>
                <w:b w:val="0"/>
              </w:rPr>
              <w:t>базовое медицинское образование, высшее медицинское образование, наличие интернатуры или документа, подтверждающего квалификацию «Врач»</w:t>
            </w:r>
            <w:bookmarkStart w:id="0" w:name="_GoBack"/>
            <w:bookmarkEnd w:id="0"/>
          </w:p>
        </w:tc>
      </w:tr>
    </w:tbl>
    <w:p w:rsidR="006E0B68" w:rsidRDefault="006E0B68"/>
    <w:p w:rsidR="00AD2D5F" w:rsidRPr="00AD2D5F" w:rsidRDefault="00AD2D5F" w:rsidP="00AD2D5F">
      <w:pPr>
        <w:pStyle w:val="-1"/>
      </w:pPr>
      <w:bookmarkStart w:id="1" w:name="z422"/>
      <w:r w:rsidRPr="00AD2D5F">
        <w:t>Структура типовой учебной программы</w:t>
      </w:r>
      <w:bookmarkEnd w:id="1"/>
    </w:p>
    <w:tbl>
      <w:tblPr>
        <w:tblW w:w="9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6095"/>
        <w:gridCol w:w="2694"/>
      </w:tblGrid>
      <w:tr w:rsidR="00AD2D5F" w:rsidRPr="00AD2D5F" w:rsidTr="00AD2D5F">
        <w:trPr>
          <w:trHeight w:val="30"/>
        </w:trPr>
        <w:tc>
          <w:tcPr>
            <w:tcW w:w="1176"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 п/п</w:t>
            </w:r>
          </w:p>
        </w:tc>
        <w:tc>
          <w:tcPr>
            <w:tcW w:w="6095"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Наименование дисциплин (модулей)</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Количество кредитов</w:t>
            </w:r>
          </w:p>
        </w:tc>
      </w:tr>
      <w:tr w:rsidR="00AD2D5F" w:rsidRPr="00AD2D5F" w:rsidTr="00AD2D5F">
        <w:trPr>
          <w:trHeight w:val="30"/>
        </w:trPr>
        <w:tc>
          <w:tcPr>
            <w:tcW w:w="1176"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1</w:t>
            </w:r>
          </w:p>
        </w:tc>
        <w:tc>
          <w:tcPr>
            <w:tcW w:w="6095"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Цикл профилирующих дисциплин</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138</w:t>
            </w:r>
          </w:p>
        </w:tc>
      </w:tr>
      <w:tr w:rsidR="00AD2D5F" w:rsidRPr="00AD2D5F" w:rsidTr="00AD2D5F">
        <w:trPr>
          <w:trHeight w:val="30"/>
        </w:trPr>
        <w:tc>
          <w:tcPr>
            <w:tcW w:w="1176" w:type="dxa"/>
            <w:vMerge w:val="restart"/>
            <w:tcMar>
              <w:top w:w="15" w:type="dxa"/>
              <w:left w:w="15" w:type="dxa"/>
              <w:bottom w:w="15" w:type="dxa"/>
              <w:right w:w="15" w:type="dxa"/>
            </w:tcMar>
            <w:vAlign w:val="center"/>
          </w:tcPr>
          <w:p w:rsidR="00AD2D5F" w:rsidRPr="00AD2D5F" w:rsidRDefault="00AD2D5F" w:rsidP="00AD2D5F">
            <w:pPr>
              <w:pStyle w:val="-1"/>
              <w:rPr>
                <w:b w:val="0"/>
              </w:rPr>
            </w:pPr>
            <w:r w:rsidRPr="00AD2D5F">
              <w:rPr>
                <w:b w:val="0"/>
              </w:rPr>
              <w:t>1)</w:t>
            </w: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Обязательный компонент</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134</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Семейная медицина</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24</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Внутренние болезни в практике семейного врача:</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28</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Внутренние болезни</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22</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Инфекционные болезни у взрослых</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6</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Хирургические болезни в практике семейного врача:</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12</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Амбулаторная хирургия</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4</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Амбулаторная травматология</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2</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Амбулаторная оториноларингология</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4</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Амбулаторная офтальмология</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2</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Здоровье женщины и ребенка в практике семейного врача:</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38</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Амбулаторное акушерство и гинекология</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10</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Амбулаторная педиатрия</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20</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Детские инфекционные болезни</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8</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Комплексная практика семейного врача:</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18</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Вопросы неврологии в практике семейного врача</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4</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Вопросы психического здоровья в практике семейного врача</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4</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Вопросы дерматологии и венерологии в практике семейного врача</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2</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Вопросы фтизиатрии в практике семейного врача</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4</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Вопросы онкологии в практике семейного врача</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4</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Экстренная медицина</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12</w:t>
            </w:r>
          </w:p>
        </w:tc>
      </w:tr>
      <w:tr w:rsidR="00AD2D5F" w:rsidRPr="00AD2D5F" w:rsidTr="00AD2D5F">
        <w:trPr>
          <w:trHeight w:val="30"/>
        </w:trPr>
        <w:tc>
          <w:tcPr>
            <w:tcW w:w="1176" w:type="dxa"/>
            <w:vMerge/>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Паллиативная медицина</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2</w:t>
            </w:r>
          </w:p>
        </w:tc>
      </w:tr>
      <w:tr w:rsidR="00AD2D5F" w:rsidRPr="00AD2D5F" w:rsidTr="00AD2D5F">
        <w:trPr>
          <w:trHeight w:val="30"/>
        </w:trPr>
        <w:tc>
          <w:tcPr>
            <w:tcW w:w="1176"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2)</w:t>
            </w:r>
          </w:p>
        </w:tc>
        <w:tc>
          <w:tcPr>
            <w:tcW w:w="6095" w:type="dxa"/>
            <w:tcMar>
              <w:top w:w="15" w:type="dxa"/>
              <w:left w:w="15" w:type="dxa"/>
              <w:bottom w:w="15" w:type="dxa"/>
              <w:right w:w="15" w:type="dxa"/>
            </w:tcMar>
            <w:vAlign w:val="center"/>
          </w:tcPr>
          <w:p w:rsidR="00AD2D5F" w:rsidRPr="00AD2D5F" w:rsidRDefault="00AD2D5F" w:rsidP="00AD2D5F">
            <w:pPr>
              <w:pStyle w:val="-1"/>
              <w:ind w:right="120"/>
              <w:jc w:val="both"/>
              <w:rPr>
                <w:b w:val="0"/>
              </w:rPr>
            </w:pPr>
            <w:r w:rsidRPr="00AD2D5F">
              <w:rPr>
                <w:b w:val="0"/>
              </w:rPr>
              <w:t>Компонент по выбору</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4</w:t>
            </w:r>
          </w:p>
        </w:tc>
      </w:tr>
      <w:tr w:rsidR="00AD2D5F" w:rsidRPr="00AD2D5F" w:rsidTr="00AD2D5F">
        <w:trPr>
          <w:trHeight w:val="30"/>
        </w:trPr>
        <w:tc>
          <w:tcPr>
            <w:tcW w:w="1176"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2</w:t>
            </w:r>
          </w:p>
        </w:tc>
        <w:tc>
          <w:tcPr>
            <w:tcW w:w="6095" w:type="dxa"/>
            <w:tcMar>
              <w:top w:w="15" w:type="dxa"/>
              <w:left w:w="15" w:type="dxa"/>
              <w:bottom w:w="15" w:type="dxa"/>
              <w:right w:w="15" w:type="dxa"/>
            </w:tcMar>
            <w:vAlign w:val="center"/>
          </w:tcPr>
          <w:p w:rsidR="00AD2D5F" w:rsidRPr="00AD2D5F" w:rsidRDefault="00AD2D5F" w:rsidP="00AD2D5F">
            <w:pPr>
              <w:pStyle w:val="-1"/>
              <w:jc w:val="left"/>
              <w:rPr>
                <w:b w:val="0"/>
              </w:rPr>
            </w:pPr>
            <w:r w:rsidRPr="00AD2D5F">
              <w:rPr>
                <w:b w:val="0"/>
              </w:rPr>
              <w:t>Итоговая аттестация</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2</w:t>
            </w:r>
          </w:p>
        </w:tc>
      </w:tr>
      <w:tr w:rsidR="00AD2D5F" w:rsidRPr="00AD2D5F" w:rsidTr="00AD2D5F">
        <w:trPr>
          <w:trHeight w:val="30"/>
        </w:trPr>
        <w:tc>
          <w:tcPr>
            <w:tcW w:w="1176" w:type="dxa"/>
            <w:tcMar>
              <w:top w:w="15" w:type="dxa"/>
              <w:left w:w="15" w:type="dxa"/>
              <w:bottom w:w="15" w:type="dxa"/>
              <w:right w:w="15" w:type="dxa"/>
            </w:tcMar>
            <w:vAlign w:val="center"/>
          </w:tcPr>
          <w:p w:rsidR="00AD2D5F" w:rsidRPr="00AD2D5F" w:rsidRDefault="00AD2D5F" w:rsidP="00AD2D5F">
            <w:pPr>
              <w:pStyle w:val="-1"/>
              <w:rPr>
                <w:b w:val="0"/>
              </w:rPr>
            </w:pPr>
          </w:p>
        </w:tc>
        <w:tc>
          <w:tcPr>
            <w:tcW w:w="6095" w:type="dxa"/>
            <w:tcMar>
              <w:top w:w="15" w:type="dxa"/>
              <w:left w:w="15" w:type="dxa"/>
              <w:bottom w:w="15" w:type="dxa"/>
              <w:right w:w="15" w:type="dxa"/>
            </w:tcMar>
            <w:vAlign w:val="center"/>
          </w:tcPr>
          <w:p w:rsidR="00AD2D5F" w:rsidRPr="00AD2D5F" w:rsidRDefault="00AD2D5F" w:rsidP="00AD2D5F">
            <w:pPr>
              <w:pStyle w:val="-1"/>
              <w:jc w:val="left"/>
              <w:rPr>
                <w:b w:val="0"/>
              </w:rPr>
            </w:pPr>
            <w:r w:rsidRPr="00AD2D5F">
              <w:rPr>
                <w:b w:val="0"/>
              </w:rPr>
              <w:t>Итого</w:t>
            </w:r>
          </w:p>
        </w:tc>
        <w:tc>
          <w:tcPr>
            <w:tcW w:w="2694" w:type="dxa"/>
            <w:tcMar>
              <w:top w:w="15" w:type="dxa"/>
              <w:left w:w="15" w:type="dxa"/>
              <w:bottom w:w="15" w:type="dxa"/>
              <w:right w:w="15" w:type="dxa"/>
            </w:tcMar>
            <w:vAlign w:val="center"/>
          </w:tcPr>
          <w:p w:rsidR="00AD2D5F" w:rsidRPr="00AD2D5F" w:rsidRDefault="00AD2D5F" w:rsidP="00AD2D5F">
            <w:pPr>
              <w:pStyle w:val="-1"/>
              <w:rPr>
                <w:b w:val="0"/>
              </w:rPr>
            </w:pPr>
            <w:r w:rsidRPr="00AD2D5F">
              <w:rPr>
                <w:b w:val="0"/>
              </w:rPr>
              <w:t>140</w:t>
            </w:r>
          </w:p>
        </w:tc>
      </w:tr>
    </w:tbl>
    <w:p w:rsidR="008B1A42" w:rsidRPr="00AD2D5F" w:rsidRDefault="008B1A42" w:rsidP="00AD2D5F">
      <w:pPr>
        <w:pStyle w:val="-1"/>
      </w:pPr>
    </w:p>
    <w:sectPr w:rsidR="008B1A42" w:rsidRPr="00AD2D5F" w:rsidSect="00AD2D5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51D78"/>
    <w:multiLevelType w:val="hybridMultilevel"/>
    <w:tmpl w:val="6FE2A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6607"/>
    <w:rsid w:val="001C6607"/>
    <w:rsid w:val="00247B43"/>
    <w:rsid w:val="0025264A"/>
    <w:rsid w:val="00270682"/>
    <w:rsid w:val="003E7DA3"/>
    <w:rsid w:val="005715E4"/>
    <w:rsid w:val="006E0B68"/>
    <w:rsid w:val="00704CC4"/>
    <w:rsid w:val="007D03FB"/>
    <w:rsid w:val="008B1A42"/>
    <w:rsid w:val="00A3704D"/>
    <w:rsid w:val="00AD2D5F"/>
    <w:rsid w:val="00AF5A53"/>
    <w:rsid w:val="00B333FA"/>
    <w:rsid w:val="00C06E7B"/>
    <w:rsid w:val="00C80C46"/>
    <w:rsid w:val="00EF587C"/>
    <w:rsid w:val="00F05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31435-C2AB-41BE-AF11-1943ED03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B68"/>
    <w:pPr>
      <w:spacing w:after="200" w:line="276" w:lineRule="auto"/>
    </w:pPr>
    <w:rPr>
      <w:rFonts w:eastAsiaTheme="minorEastAsia"/>
      <w:lang w:eastAsia="ru-RU"/>
    </w:rPr>
  </w:style>
  <w:style w:type="paragraph" w:styleId="1">
    <w:name w:val="heading 1"/>
    <w:basedOn w:val="a"/>
    <w:next w:val="a"/>
    <w:link w:val="10"/>
    <w:qFormat/>
    <w:rsid w:val="00B333FA"/>
    <w:pPr>
      <w:keepNext/>
      <w:spacing w:after="0" w:line="240" w:lineRule="auto"/>
      <w:jc w:val="center"/>
      <w:outlineLvl w:val="0"/>
    </w:pPr>
    <w:rPr>
      <w:rFonts w:ascii="Times New Roman" w:eastAsia="Times New Roman" w:hAnsi="Times New Roman" w:cs="Times New Roman"/>
      <w:b/>
      <w:sz w:val="28"/>
      <w:szCs w:val="20"/>
    </w:rPr>
  </w:style>
  <w:style w:type="paragraph" w:styleId="3">
    <w:name w:val="heading 3"/>
    <w:basedOn w:val="a"/>
    <w:next w:val="a"/>
    <w:link w:val="30"/>
    <w:qFormat/>
    <w:rsid w:val="005715E4"/>
    <w:pPr>
      <w:keepNext/>
      <w:spacing w:after="0" w:line="240" w:lineRule="auto"/>
      <w:jc w:val="both"/>
      <w:outlineLvl w:val="2"/>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E0B68"/>
    <w:pPr>
      <w:spacing w:after="0" w:line="240" w:lineRule="auto"/>
    </w:pPr>
  </w:style>
  <w:style w:type="paragraph" w:customStyle="1" w:styleId="-1">
    <w:name w:val="Без интервала-1"/>
    <w:basedOn w:val="a4"/>
    <w:link w:val="-10"/>
    <w:qFormat/>
    <w:rsid w:val="006E0B68"/>
    <w:pPr>
      <w:widowControl w:val="0"/>
      <w:ind w:right="-24"/>
      <w:jc w:val="center"/>
    </w:pPr>
    <w:rPr>
      <w:rFonts w:ascii="Times New Roman" w:eastAsia="Times New Roman" w:hAnsi="Times New Roman" w:cs="Times New Roman"/>
      <w:b/>
      <w:bCs/>
      <w:sz w:val="24"/>
      <w:szCs w:val="24"/>
      <w:shd w:val="clear" w:color="auto" w:fill="FFFFFF"/>
      <w:lang w:eastAsia="ru-RU"/>
    </w:rPr>
  </w:style>
  <w:style w:type="character" w:customStyle="1" w:styleId="-10">
    <w:name w:val="Без интервала-1 Знак"/>
    <w:link w:val="-1"/>
    <w:locked/>
    <w:rsid w:val="006E0B68"/>
    <w:rPr>
      <w:rFonts w:ascii="Times New Roman" w:eastAsia="Times New Roman" w:hAnsi="Times New Roman" w:cs="Times New Roman"/>
      <w:b/>
      <w:bCs/>
      <w:sz w:val="24"/>
      <w:szCs w:val="24"/>
      <w:lang w:eastAsia="ru-RU"/>
    </w:rPr>
  </w:style>
  <w:style w:type="paragraph" w:customStyle="1" w:styleId="2">
    <w:name w:val="Обычный2"/>
    <w:rsid w:val="006E0B68"/>
    <w:pPr>
      <w:spacing w:after="0"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3"/>
    <w:uiPriority w:val="39"/>
    <w:rsid w:val="006E0B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333FA"/>
    <w:rPr>
      <w:rFonts w:ascii="Times New Roman" w:eastAsia="Times New Roman" w:hAnsi="Times New Roman" w:cs="Times New Roman"/>
      <w:b/>
      <w:sz w:val="28"/>
      <w:szCs w:val="20"/>
      <w:lang w:eastAsia="ru-RU"/>
    </w:rPr>
  </w:style>
  <w:style w:type="character" w:styleId="a5">
    <w:name w:val="Hyperlink"/>
    <w:basedOn w:val="a0"/>
    <w:uiPriority w:val="99"/>
    <w:unhideWhenUsed/>
    <w:rsid w:val="00B333FA"/>
    <w:rPr>
      <w:color w:val="0563C1" w:themeColor="hyperlink"/>
      <w:u w:val="single"/>
    </w:rPr>
  </w:style>
  <w:style w:type="character" w:styleId="a6">
    <w:name w:val="Strong"/>
    <w:basedOn w:val="a0"/>
    <w:uiPriority w:val="22"/>
    <w:qFormat/>
    <w:rsid w:val="005715E4"/>
    <w:rPr>
      <w:b/>
      <w:bCs/>
    </w:rPr>
  </w:style>
  <w:style w:type="character" w:customStyle="1" w:styleId="30">
    <w:name w:val="Заголовок 3 Знак"/>
    <w:basedOn w:val="a0"/>
    <w:link w:val="3"/>
    <w:rsid w:val="005715E4"/>
    <w:rPr>
      <w:rFonts w:ascii="Times New Roman" w:eastAsia="Times New Roman" w:hAnsi="Times New Roman" w:cs="Times New Roman"/>
      <w:b/>
      <w:sz w:val="20"/>
      <w:szCs w:val="20"/>
      <w:lang w:eastAsia="ru-RU"/>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5715E4"/>
    <w:pPr>
      <w:spacing w:after="0" w:line="225" w:lineRule="atLeast"/>
    </w:pPr>
    <w:rPr>
      <w:rFonts w:ascii="Verdana" w:eastAsia="Times New Roman" w:hAnsi="Verdana" w:cs="Times New Roman"/>
      <w:color w:val="3B3B3B"/>
      <w:sz w:val="17"/>
      <w:szCs w:val="17"/>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5715E4"/>
    <w:rPr>
      <w:rFonts w:ascii="Verdana" w:eastAsia="Times New Roman" w:hAnsi="Verdana" w:cs="Times New Roman"/>
      <w:color w:val="3B3B3B"/>
      <w:sz w:val="17"/>
      <w:szCs w:val="17"/>
      <w:lang w:eastAsia="ru-RU"/>
    </w:rPr>
  </w:style>
  <w:style w:type="character" w:customStyle="1" w:styleId="s0">
    <w:name w:val="s0"/>
    <w:basedOn w:val="a0"/>
    <w:rsid w:val="00A3704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ic-kazakhstan.edu.kz/ru/accreditation/akkreditovannye-programmy-rezidentury-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2022-03-15T03:59:00Z</dcterms:created>
  <dcterms:modified xsi:type="dcterms:W3CDTF">2024-04-01T05:34:00Z</dcterms:modified>
</cp:coreProperties>
</file>